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bookmarkStart w:id="2" w:name="_GoBack"/>
      <w:bookmarkEnd w:id="2"/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中共三门峡市委办公室2020年度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四大班子保安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经费”项目支出绩效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年度，中共三门峡市委办公室总体批复四大班子保安项目经费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</w:rPr>
        <w:t>：145万元</w:t>
      </w:r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，主要用于保安工资和办公支出，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133.9</w:t>
      </w:r>
      <w:r>
        <w:rPr>
          <w:rFonts w:hint="eastAsia" w:ascii="仿宋_GB2312" w:hAnsi="仿宋_GB2312" w:cs="仿宋_GB2312"/>
          <w:sz w:val="32"/>
          <w:szCs w:val="32"/>
        </w:rPr>
        <w:t>万元，资金批复及时到位，绩效管理全面有效。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市委、人大、政协、二号院等办公场所</w:t>
      </w:r>
      <w:r>
        <w:rPr>
          <w:rFonts w:hint="eastAsia" w:ascii="仿宋_GB2312" w:hAnsi="仿宋_GB2312" w:cs="仿宋_GB2312"/>
          <w:sz w:val="32"/>
          <w:szCs w:val="32"/>
        </w:rPr>
        <w:t>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根据工作开展情况设置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  <w:lang w:val="en" w:eastAsia="zh-CN"/>
        </w:rPr>
        <w:t>四大班子保安</w:t>
      </w:r>
      <w:r>
        <w:rPr>
          <w:rFonts w:hint="eastAsia" w:ascii="仿宋_GB2312" w:hAnsi="仿宋_GB2312" w:cs="仿宋_GB2312"/>
          <w:sz w:val="32"/>
          <w:szCs w:val="32"/>
        </w:rPr>
        <w:t>经费</w:t>
      </w:r>
      <w:bookmarkStart w:id="1" w:name="_Hlk68736992"/>
      <w:r>
        <w:rPr>
          <w:rFonts w:hint="eastAsia" w:ascii="仿宋_GB2312" w:hAnsi="仿宋_GB2312" w:cs="仿宋_GB2312"/>
          <w:sz w:val="32"/>
          <w:szCs w:val="32"/>
        </w:rPr>
        <w:t>项目自评分数为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9.2</w:t>
      </w:r>
      <w:r>
        <w:rPr>
          <w:rFonts w:hint="eastAsia" w:ascii="仿宋_GB2312" w:hAnsi="仿宋_GB2312" w:cs="仿宋_GB2312"/>
          <w:sz w:val="32"/>
          <w:szCs w:val="32"/>
        </w:rPr>
        <w:t>分</w:t>
      </w:r>
      <w:bookmarkEnd w:id="1"/>
      <w:r>
        <w:rPr>
          <w:rFonts w:hint="eastAsia" w:ascii="仿宋_GB2312" w:hAnsi="仿宋_GB2312" w:cs="仿宋_GB2312"/>
          <w:sz w:val="32"/>
          <w:szCs w:val="32"/>
        </w:rPr>
        <w:t>。完成绩效目标的项目个数为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未发现四大班子保安经费项目预算绩效问题，我单位将严格按照市财政部门对绩效自评工作有关要求，加强预算绩效管理工作。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0DB596D3"/>
    <w:rsid w:val="36EE5931"/>
    <w:rsid w:val="36FE54DD"/>
    <w:rsid w:val="3FDF70EB"/>
    <w:rsid w:val="3FF55C6C"/>
    <w:rsid w:val="477D2C1E"/>
    <w:rsid w:val="4FBFB4C4"/>
    <w:rsid w:val="537FB7D3"/>
    <w:rsid w:val="76FF35DB"/>
    <w:rsid w:val="77BD1CD9"/>
    <w:rsid w:val="7AF6780C"/>
    <w:rsid w:val="7BBEB963"/>
    <w:rsid w:val="7C378DA3"/>
    <w:rsid w:val="7C9C25FD"/>
    <w:rsid w:val="7E77B372"/>
    <w:rsid w:val="7E7F272D"/>
    <w:rsid w:val="7EF945E7"/>
    <w:rsid w:val="7EFFF6E0"/>
    <w:rsid w:val="7F937FCB"/>
    <w:rsid w:val="BDDFE7E8"/>
    <w:rsid w:val="BF3F90D7"/>
    <w:rsid w:val="BFFEA982"/>
    <w:rsid w:val="E7FF7D86"/>
    <w:rsid w:val="EFFF604A"/>
    <w:rsid w:val="F34F3439"/>
    <w:rsid w:val="F7FB4E87"/>
    <w:rsid w:val="FAA73BF6"/>
    <w:rsid w:val="FD27252F"/>
    <w:rsid w:val="FDFBB6DE"/>
    <w:rsid w:val="FFB77D80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2021-04-16T00:31:00Z</dcterms:created>
  <dc:creator>李 明</dc:creator>
  <cp:lastModifiedBy>insprur</cp:lastModifiedBy>
  <cp:lastPrinted>2022-05-18T09:46:34Z</cp:lastPrinted>
  <dcterms:modified xsi:type="dcterms:W3CDTF">2022-05-18T09:46:36Z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